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47" w:rsidRPr="00083BC1" w:rsidRDefault="008F4347" w:rsidP="008F4347">
      <w:pPr>
        <w:widowControl/>
        <w:spacing w:line="600" w:lineRule="exact"/>
        <w:jc w:val="center"/>
        <w:rPr>
          <w:rFonts w:ascii="华文中宋" w:eastAsia="华文中宋" w:hAnsi="华文中宋" w:cs="宋体"/>
          <w:b/>
          <w:kern w:val="0"/>
          <w:sz w:val="36"/>
          <w:szCs w:val="36"/>
        </w:rPr>
      </w:pPr>
      <w:r w:rsidRPr="00083BC1">
        <w:rPr>
          <w:rFonts w:ascii="华文中宋" w:eastAsia="华文中宋" w:hAnsi="华文中宋" w:cs="宋体" w:hint="eastAsia"/>
          <w:b/>
          <w:kern w:val="0"/>
          <w:sz w:val="36"/>
          <w:szCs w:val="36"/>
        </w:rPr>
        <w:t>全日制</w:t>
      </w:r>
      <w:r w:rsidRPr="00083BC1">
        <w:rPr>
          <w:rFonts w:ascii="华文中宋" w:eastAsia="华文中宋" w:hAnsi="华文中宋" w:cs="宋体"/>
          <w:b/>
          <w:kern w:val="0"/>
          <w:sz w:val="36"/>
          <w:szCs w:val="36"/>
        </w:rPr>
        <w:t>工程硕士</w:t>
      </w:r>
      <w:r w:rsidRPr="00083BC1">
        <w:rPr>
          <w:rFonts w:ascii="华文中宋" w:eastAsia="华文中宋" w:hAnsi="华文中宋" w:cs="宋体" w:hint="eastAsia"/>
          <w:b/>
          <w:kern w:val="0"/>
          <w:sz w:val="36"/>
          <w:szCs w:val="36"/>
        </w:rPr>
        <w:t>专业学位</w:t>
      </w:r>
    </w:p>
    <w:p w:rsidR="008F4347" w:rsidRPr="00083BC1" w:rsidRDefault="008F4347" w:rsidP="008F4347">
      <w:pPr>
        <w:widowControl/>
        <w:spacing w:line="600" w:lineRule="exact"/>
        <w:jc w:val="center"/>
        <w:rPr>
          <w:rFonts w:ascii="华文中宋" w:eastAsia="华文中宋" w:hAnsi="华文中宋" w:cs="宋体"/>
          <w:b/>
          <w:kern w:val="0"/>
          <w:sz w:val="36"/>
          <w:szCs w:val="36"/>
        </w:rPr>
      </w:pPr>
      <w:r w:rsidRPr="00083BC1">
        <w:rPr>
          <w:rFonts w:ascii="华文中宋" w:eastAsia="华文中宋" w:hAnsi="华文中宋" w:cs="宋体" w:hint="eastAsia"/>
          <w:b/>
          <w:kern w:val="0"/>
          <w:sz w:val="36"/>
          <w:szCs w:val="36"/>
        </w:rPr>
        <w:t>研究生学位</w:t>
      </w:r>
      <w:r w:rsidRPr="00083BC1">
        <w:rPr>
          <w:rFonts w:ascii="华文中宋" w:eastAsia="华文中宋" w:hAnsi="华文中宋" w:cs="宋体"/>
          <w:b/>
          <w:kern w:val="0"/>
          <w:sz w:val="36"/>
          <w:szCs w:val="36"/>
        </w:rPr>
        <w:t>论文</w:t>
      </w:r>
      <w:r w:rsidRPr="00083BC1">
        <w:rPr>
          <w:rFonts w:ascii="华文中宋" w:eastAsia="华文中宋" w:hAnsi="华文中宋" w:cs="宋体" w:hint="eastAsia"/>
          <w:b/>
          <w:kern w:val="0"/>
          <w:sz w:val="36"/>
          <w:szCs w:val="36"/>
        </w:rPr>
        <w:t>与答辩工作指导意见</w:t>
      </w:r>
    </w:p>
    <w:p w:rsidR="008F4347" w:rsidRPr="00083BC1" w:rsidRDefault="008F4347" w:rsidP="008F4347">
      <w:pPr>
        <w:widowControl/>
        <w:jc w:val="center"/>
        <w:rPr>
          <w:rFonts w:ascii="宋体" w:hAnsi="宋体" w:cs="宋体"/>
          <w:color w:val="000000"/>
          <w:kern w:val="0"/>
          <w:sz w:val="28"/>
          <w:szCs w:val="28"/>
        </w:rPr>
      </w:pPr>
      <w:r>
        <w:rPr>
          <w:rFonts w:ascii="宋体" w:hAnsi="宋体" w:cs="宋体" w:hint="eastAsia"/>
          <w:color w:val="000000"/>
          <w:kern w:val="0"/>
          <w:sz w:val="28"/>
          <w:szCs w:val="28"/>
        </w:rPr>
        <w:t>（</w:t>
      </w:r>
      <w:r w:rsidRPr="00083BC1">
        <w:rPr>
          <w:rFonts w:ascii="宋体" w:hAnsi="宋体" w:cs="宋体" w:hint="eastAsia"/>
          <w:color w:val="000000"/>
          <w:kern w:val="0"/>
          <w:sz w:val="28"/>
          <w:szCs w:val="28"/>
        </w:rPr>
        <w:t>第八届学位评定委员会第三次会议审议通过</w:t>
      </w:r>
      <w:r>
        <w:rPr>
          <w:rFonts w:ascii="宋体" w:hAnsi="宋体" w:cs="宋体" w:hint="eastAsia"/>
          <w:color w:val="000000"/>
          <w:kern w:val="0"/>
          <w:sz w:val="28"/>
          <w:szCs w:val="28"/>
        </w:rPr>
        <w:t>）</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为了规范全日制工程硕士专业学位论文（设计）有关要求，保证学位授予质量，根据国务院学位委员会通过的《工程硕士专业学位设置方案》与全国工程硕士专业学位教育指导委员会制定的《关于工程硕士专业学位论文基本要求的通知》，以及教育部《关于做好全日制硕士专业学位研究生培养工作的若干意见》，特制定本指导意见。</w:t>
      </w:r>
    </w:p>
    <w:p w:rsidR="008F4347" w:rsidRPr="00083BC1" w:rsidRDefault="008F4347" w:rsidP="008F4347">
      <w:pPr>
        <w:widowControl/>
        <w:snapToGrid w:val="0"/>
        <w:spacing w:line="500" w:lineRule="exact"/>
        <w:ind w:firstLineChars="196" w:firstLine="549"/>
        <w:rPr>
          <w:rFonts w:ascii="黑体" w:eastAsia="黑体" w:hAnsi="宋体" w:cs="宋体"/>
          <w:bCs/>
          <w:color w:val="000000"/>
          <w:kern w:val="0"/>
          <w:sz w:val="28"/>
          <w:szCs w:val="28"/>
        </w:rPr>
      </w:pPr>
      <w:r w:rsidRPr="00083BC1">
        <w:rPr>
          <w:rFonts w:ascii="黑体" w:eastAsia="黑体" w:hAnsi="宋体" w:cs="宋体" w:hint="eastAsia"/>
          <w:bCs/>
          <w:color w:val="000000"/>
          <w:kern w:val="0"/>
          <w:sz w:val="28"/>
          <w:szCs w:val="28"/>
        </w:rPr>
        <w:t>一、论文选题</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论文选题应来源于应用课题或现实问题，具有明确的工程背景与应用价值，有一定的技术难度和工作量，能够培养研究生综合运用科学理论、方法和技术解决实际问题的能力，具体可以从以下几方面选取：</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1．一项较为完整的工程技术项目、工程管理项目的规划或研究；</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2．工程设计或实施；</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3．工程案例分析；</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4．技术攻关、技术改造、技术推广与应用；</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5．新工艺、新材料、新产品、新设备的研制与开发；</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6．引进、消化、吸收和应用国外先进技术项目；</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7．应用基础研究、应用研究、预先研究。</w:t>
      </w:r>
    </w:p>
    <w:p w:rsidR="008F4347" w:rsidRPr="00083BC1" w:rsidRDefault="008F4347" w:rsidP="008F4347">
      <w:pPr>
        <w:widowControl/>
        <w:snapToGrid w:val="0"/>
        <w:spacing w:line="500" w:lineRule="exact"/>
        <w:ind w:firstLineChars="196" w:firstLine="549"/>
        <w:rPr>
          <w:rFonts w:ascii="黑体" w:eastAsia="黑体" w:hAnsi="宋体" w:cs="宋体"/>
          <w:bCs/>
          <w:color w:val="000000"/>
          <w:kern w:val="0"/>
          <w:sz w:val="28"/>
          <w:szCs w:val="28"/>
        </w:rPr>
      </w:pPr>
      <w:r w:rsidRPr="00083BC1">
        <w:rPr>
          <w:rFonts w:ascii="黑体" w:eastAsia="黑体" w:hAnsi="宋体" w:cs="宋体" w:hint="eastAsia"/>
          <w:bCs/>
          <w:color w:val="000000"/>
          <w:kern w:val="0"/>
          <w:sz w:val="28"/>
          <w:szCs w:val="28"/>
        </w:rPr>
        <w:t>二、论文开题</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1．全日制工程硕士研究生应在导师指导下，结合专业实践确定研究方向，通过查阅文献、收集资料和调查研究确定研究课题，一般应于第二学期、最晚可在第三学期开学后一个月内完成开题报告。</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2．开题报告一般应包括以下内容：</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（1）选题的目的和意义；</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（2）本领域历史、现状及发展趋势分析；</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lastRenderedPageBreak/>
        <w:t>（3）研究方案(包括主要研究内容和研究重点、技术方案、方案实施条件、存在的主要问题与拟解决的技术关键问题、预期成果等内容)；</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（4）计划进度安排；</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（5）参考文献。</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3．应填写《工程硕士专业学位开题报告》简况表，经导师同意并经院部批准后方可开题。</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4．通过开题报告后，由各院部收齐《工程硕士专业学位开题报告》简况表，存档备案，并填写本单位全日制工程硕士专业学位研究生开题报告题目汇总表报送研究生院备案。</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5．开题报告由院部统一组织、公开举行。各院部要根据专业领域或培养方向组织成立开题报告评审专家组。专家</w:t>
      </w:r>
      <w:proofErr w:type="gramStart"/>
      <w:r w:rsidRPr="00083BC1">
        <w:rPr>
          <w:rFonts w:ascii="宋体" w:hAnsi="宋体" w:cs="宋体" w:hint="eastAsia"/>
          <w:color w:val="000000"/>
          <w:kern w:val="0"/>
          <w:sz w:val="28"/>
          <w:szCs w:val="28"/>
        </w:rPr>
        <w:t>组一般</w:t>
      </w:r>
      <w:proofErr w:type="gramEnd"/>
      <w:r w:rsidRPr="00083BC1">
        <w:rPr>
          <w:rFonts w:ascii="宋体" w:hAnsi="宋体" w:cs="宋体" w:hint="eastAsia"/>
          <w:color w:val="000000"/>
          <w:kern w:val="0"/>
          <w:sz w:val="28"/>
          <w:szCs w:val="28"/>
        </w:rPr>
        <w:t>由3～5名具有副高以上职称的同领域或相关领域专家组成，其中应有来自企业或工程部门的专家。</w:t>
      </w:r>
    </w:p>
    <w:p w:rsidR="008F4347" w:rsidRPr="00083BC1" w:rsidRDefault="008F4347" w:rsidP="008F4347">
      <w:pPr>
        <w:widowControl/>
        <w:snapToGrid w:val="0"/>
        <w:spacing w:line="500" w:lineRule="exact"/>
        <w:ind w:firstLineChars="196" w:firstLine="549"/>
        <w:rPr>
          <w:rFonts w:ascii="黑体" w:eastAsia="黑体" w:hAnsi="宋体" w:cs="宋体"/>
          <w:bCs/>
          <w:color w:val="000000"/>
          <w:kern w:val="0"/>
          <w:sz w:val="28"/>
          <w:szCs w:val="28"/>
        </w:rPr>
      </w:pPr>
      <w:r w:rsidRPr="00083BC1">
        <w:rPr>
          <w:rFonts w:ascii="黑体" w:eastAsia="黑体" w:hAnsi="宋体" w:cs="宋体" w:hint="eastAsia"/>
          <w:bCs/>
          <w:color w:val="000000"/>
          <w:kern w:val="0"/>
          <w:sz w:val="28"/>
          <w:szCs w:val="28"/>
        </w:rPr>
        <w:t>三、论文内容与形式</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学位论文一般应用汉语撰写，字数为2～4万字。内容包括工程设计类、应用开发类、计算机软件类和工程管理类等。可以是</w:t>
      </w:r>
      <w:r w:rsidRPr="00083BC1">
        <w:rPr>
          <w:rFonts w:ascii="宋体" w:hAnsi="宋体" w:hint="eastAsia"/>
          <w:sz w:val="28"/>
          <w:szCs w:val="28"/>
        </w:rPr>
        <w:t>调研报告、应用基础研究、规划设计、产品开发、案例分析、项目管理等形式</w:t>
      </w:r>
      <w:r w:rsidRPr="00083BC1">
        <w:rPr>
          <w:rFonts w:ascii="宋体" w:hAnsi="宋体" w:cs="宋体" w:hint="eastAsia"/>
          <w:color w:val="000000"/>
          <w:kern w:val="0"/>
          <w:sz w:val="28"/>
          <w:szCs w:val="28"/>
        </w:rPr>
        <w:t>。</w:t>
      </w:r>
    </w:p>
    <w:p w:rsidR="008F4347" w:rsidRPr="00083BC1" w:rsidRDefault="008F4347" w:rsidP="008F4347">
      <w:pPr>
        <w:widowControl/>
        <w:snapToGrid w:val="0"/>
        <w:spacing w:line="500" w:lineRule="exact"/>
        <w:ind w:firstLineChars="196" w:firstLine="549"/>
        <w:rPr>
          <w:rFonts w:ascii="黑体" w:eastAsia="黑体" w:hAnsi="宋体" w:cs="宋体"/>
          <w:bCs/>
          <w:color w:val="000000"/>
          <w:kern w:val="0"/>
          <w:sz w:val="28"/>
          <w:szCs w:val="28"/>
        </w:rPr>
      </w:pPr>
      <w:r w:rsidRPr="00083BC1">
        <w:rPr>
          <w:rFonts w:ascii="黑体" w:eastAsia="黑体" w:hAnsi="宋体" w:cs="宋体" w:hint="eastAsia"/>
          <w:bCs/>
          <w:color w:val="000000"/>
          <w:kern w:val="0"/>
          <w:sz w:val="28"/>
          <w:szCs w:val="28"/>
        </w:rPr>
        <w:t>四、论文要求</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1．对选题所涉及的工程技术问题或相关领域国内外状况应有清晰的描述与分析。</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2．综</w:t>
      </w:r>
      <w:r w:rsidRPr="00083BC1">
        <w:rPr>
          <w:rFonts w:ascii="宋体" w:hAnsi="宋体" w:cs="宋体" w:hint="eastAsia"/>
          <w:color w:val="000000"/>
          <w:spacing w:val="-4"/>
          <w:kern w:val="0"/>
          <w:sz w:val="28"/>
          <w:szCs w:val="28"/>
        </w:rPr>
        <w:t>合运用基础理论、科学方法、专业知识和技术手段对所解决的工程实际问题进行分析研究，突出适用性，并能在某些方面提出独立见解</w:t>
      </w:r>
      <w:r w:rsidRPr="00083BC1">
        <w:rPr>
          <w:rFonts w:ascii="宋体" w:hAnsi="宋体" w:cs="宋体" w:hint="eastAsia"/>
          <w:color w:val="000000"/>
          <w:kern w:val="0"/>
          <w:sz w:val="28"/>
          <w:szCs w:val="28"/>
        </w:rPr>
        <w:t>。</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lastRenderedPageBreak/>
        <w:t>3．论文工作应具有明确的工程实践应用背景，有一定的技术难度或理论深度，论文成果具有先进性和实用性，具有一定的经济效益或社会效益。</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4．论文工作应在导师指导下独立完成。论文工作量饱满，实际工作量一般应不少于8个月。</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5．概</w:t>
      </w:r>
      <w:r w:rsidRPr="00083BC1">
        <w:rPr>
          <w:rFonts w:ascii="宋体" w:hAnsi="宋体" w:cs="宋体" w:hint="eastAsia"/>
          <w:color w:val="000000"/>
          <w:spacing w:val="-2"/>
          <w:kern w:val="0"/>
          <w:sz w:val="28"/>
          <w:szCs w:val="28"/>
        </w:rPr>
        <w:t>念清晰，结构合理，层次分明，文理通顺，符合有关标准规范</w:t>
      </w:r>
      <w:r w:rsidRPr="00083BC1">
        <w:rPr>
          <w:rFonts w:ascii="宋体" w:hAnsi="宋体" w:cs="宋体" w:hint="eastAsia"/>
          <w:color w:val="000000"/>
          <w:kern w:val="0"/>
          <w:sz w:val="28"/>
          <w:szCs w:val="28"/>
        </w:rPr>
        <w:t>。</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6．除上述基本要求外，不同类型论文的具体要求如下：</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（1）工程设计类论文（包括工程设计、建筑设计、产品设计、工艺设计、工业设计等）。设计方案正确，布局及设计结构合理，数据准确，符合行业标准，技术文档齐全。</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（2）应用开发论文（包括应用基础研究、应用研究、预先研究、实验研究、系统研究等）。理论推导、分析过程正确，实验方法科学，实验结果可信。</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（3）计算机软件类论文</w:t>
      </w:r>
      <w:r w:rsidRPr="00083BC1">
        <w:rPr>
          <w:rFonts w:ascii="宋体" w:hAnsi="宋体" w:cs="宋体" w:hint="eastAsia"/>
          <w:kern w:val="0"/>
          <w:sz w:val="28"/>
          <w:szCs w:val="28"/>
        </w:rPr>
        <w:t>（包括工程软件类、</w:t>
      </w:r>
      <w:r w:rsidRPr="00083BC1">
        <w:rPr>
          <w:rFonts w:ascii="宋体" w:hAnsi="宋体" w:cs="宋体" w:hint="eastAsia"/>
          <w:color w:val="000000"/>
          <w:kern w:val="0"/>
          <w:sz w:val="28"/>
          <w:szCs w:val="28"/>
        </w:rPr>
        <w:t>应用软件类）。需求分析合理，总体设计正确，程序编制及文档规范，通过测试，可进行现场演示，具有较高的实际应用价值。</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（4）工程管理类论文（包括工程管理、工程规划等）。收集与统计的数据充分、可靠，理论建模和分析方法科学正确。</w:t>
      </w:r>
    </w:p>
    <w:p w:rsidR="008F4347" w:rsidRPr="00083BC1" w:rsidRDefault="008F4347" w:rsidP="008F4347">
      <w:pPr>
        <w:widowControl/>
        <w:snapToGrid w:val="0"/>
        <w:spacing w:line="500" w:lineRule="exact"/>
        <w:ind w:firstLineChars="196" w:firstLine="549"/>
        <w:rPr>
          <w:rFonts w:ascii="黑体" w:eastAsia="黑体" w:hAnsi="宋体" w:cs="宋体"/>
          <w:bCs/>
          <w:color w:val="000000"/>
          <w:kern w:val="0"/>
          <w:sz w:val="28"/>
          <w:szCs w:val="28"/>
        </w:rPr>
      </w:pPr>
      <w:r w:rsidRPr="00083BC1">
        <w:rPr>
          <w:rFonts w:ascii="黑体" w:eastAsia="黑体" w:hAnsi="宋体" w:cs="宋体" w:hint="eastAsia"/>
          <w:bCs/>
          <w:color w:val="000000"/>
          <w:kern w:val="0"/>
          <w:sz w:val="28"/>
          <w:szCs w:val="28"/>
        </w:rPr>
        <w:t>五、撰写要求</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参见《中国石油大学（华东）研究生学位论文书写基本要求》。</w:t>
      </w:r>
    </w:p>
    <w:p w:rsidR="008F4347" w:rsidRPr="00083BC1" w:rsidRDefault="008F4347" w:rsidP="008F4347">
      <w:pPr>
        <w:widowControl/>
        <w:snapToGrid w:val="0"/>
        <w:spacing w:line="500" w:lineRule="exact"/>
        <w:ind w:firstLineChars="196" w:firstLine="549"/>
        <w:rPr>
          <w:rFonts w:ascii="黑体" w:eastAsia="黑体" w:hAnsi="宋体" w:cs="宋体"/>
          <w:bCs/>
          <w:color w:val="000000"/>
          <w:kern w:val="0"/>
          <w:sz w:val="28"/>
          <w:szCs w:val="28"/>
        </w:rPr>
      </w:pPr>
      <w:r w:rsidRPr="00083BC1">
        <w:rPr>
          <w:rFonts w:ascii="黑体" w:eastAsia="黑体" w:hAnsi="宋体" w:cs="宋体" w:hint="eastAsia"/>
          <w:bCs/>
          <w:color w:val="000000"/>
          <w:kern w:val="0"/>
          <w:sz w:val="28"/>
          <w:szCs w:val="28"/>
        </w:rPr>
        <w:t>六、论文评审与答辩</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1．资格审查。研究生完成培养方案中规定的所有环节，获得培养方案规定的学分，成绩合格，方可参加申请学位资格审查。资格审查时，研究生需</w:t>
      </w:r>
      <w:r w:rsidRPr="00083BC1">
        <w:rPr>
          <w:rFonts w:ascii="宋体" w:hAnsi="宋体" w:cs="宋体" w:hint="eastAsia"/>
          <w:kern w:val="0"/>
          <w:sz w:val="28"/>
          <w:szCs w:val="28"/>
        </w:rPr>
        <w:t>向院部提</w:t>
      </w:r>
      <w:r w:rsidRPr="00083BC1">
        <w:rPr>
          <w:rFonts w:ascii="宋体" w:hAnsi="宋体" w:cs="宋体" w:hint="eastAsia"/>
          <w:color w:val="000000"/>
          <w:kern w:val="0"/>
          <w:sz w:val="28"/>
          <w:szCs w:val="28"/>
        </w:rPr>
        <w:t>交课程学习成绩单、经导师审阅通过的学位论文及其它有关材料，通过资格审查后方可进行论文评审与答辩。</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lastRenderedPageBreak/>
        <w:t>2．论文评审。由所属院部统一组织实施，申请者本人</w:t>
      </w:r>
      <w:r w:rsidRPr="00083BC1">
        <w:rPr>
          <w:rFonts w:ascii="宋体" w:hAnsi="宋体" w:cs="宋体" w:hint="eastAsia"/>
          <w:kern w:val="0"/>
          <w:sz w:val="28"/>
          <w:szCs w:val="28"/>
        </w:rPr>
        <w:t>不得参加论文送审工作。</w:t>
      </w:r>
      <w:r w:rsidRPr="00083BC1">
        <w:rPr>
          <w:rFonts w:ascii="宋体" w:hAnsi="宋体" w:cs="宋体" w:hint="eastAsia"/>
          <w:color w:val="000000"/>
          <w:kern w:val="0"/>
          <w:sz w:val="28"/>
          <w:szCs w:val="28"/>
        </w:rPr>
        <w:t>一般聘请2名对论文所涉及研究领域较为熟悉的具有副高及以上职称的专家进行评审，其中有1名来自企业或工程部门的专家。</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kern w:val="0"/>
          <w:sz w:val="28"/>
          <w:szCs w:val="28"/>
        </w:rPr>
        <w:t>评</w:t>
      </w:r>
      <w:r w:rsidRPr="00083BC1">
        <w:rPr>
          <w:rFonts w:ascii="宋体" w:hAnsi="宋体" w:cs="宋体" w:hint="eastAsia"/>
          <w:spacing w:val="-6"/>
          <w:kern w:val="0"/>
          <w:sz w:val="28"/>
          <w:szCs w:val="28"/>
        </w:rPr>
        <w:t>审专家中如有1人的评语为否定时，可增聘1名评审专家进行评审。如有2名</w:t>
      </w:r>
      <w:r w:rsidRPr="00083BC1">
        <w:rPr>
          <w:rFonts w:ascii="宋体" w:hAnsi="宋体" w:cs="宋体" w:hint="eastAsia"/>
          <w:color w:val="000000"/>
          <w:spacing w:val="-6"/>
          <w:kern w:val="0"/>
          <w:sz w:val="28"/>
          <w:szCs w:val="28"/>
        </w:rPr>
        <w:t>(包括增聘的评审专家)的评语为否定时，则本次学位申请不通过</w:t>
      </w:r>
      <w:r w:rsidRPr="00083BC1">
        <w:rPr>
          <w:rFonts w:ascii="宋体" w:hAnsi="宋体" w:cs="宋体" w:hint="eastAsia"/>
          <w:color w:val="000000"/>
          <w:kern w:val="0"/>
          <w:sz w:val="28"/>
          <w:szCs w:val="28"/>
        </w:rPr>
        <w:t>。</w:t>
      </w:r>
    </w:p>
    <w:p w:rsidR="008F4347" w:rsidRPr="00083BC1" w:rsidRDefault="008F4347" w:rsidP="008F4347">
      <w:pPr>
        <w:widowControl/>
        <w:snapToGrid w:val="0"/>
        <w:spacing w:line="50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如学位论文成果已经通过鉴定并实际上已达到评审要求者，不必另行组织评审,评审意见书可用成果鉴定书代替。</w:t>
      </w:r>
    </w:p>
    <w:p w:rsidR="008F4347" w:rsidRPr="00083BC1" w:rsidRDefault="008F4347" w:rsidP="008F4347">
      <w:pPr>
        <w:widowControl/>
        <w:snapToGrid w:val="0"/>
        <w:spacing w:line="49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3．答辩委员会。论文答辩委员会由院部统一组织。一般按工程领域或培养方向组织答辩委员会并集中进行答辩。答辩委员会由5名具有副高以上职称、从事本领域或相关领域研究和工程实践的专家组成，其中至少有1名来自企业或工程部门的专家。每个答辩委员会设置1～2名答辩秘书（具有中级以上职称），协助答辩委员会主席组织和处理有关论文答</w:t>
      </w:r>
      <w:r w:rsidRPr="00083BC1">
        <w:rPr>
          <w:rFonts w:ascii="宋体" w:hAnsi="宋体" w:cs="宋体" w:hint="eastAsia"/>
          <w:kern w:val="0"/>
          <w:sz w:val="28"/>
          <w:szCs w:val="28"/>
        </w:rPr>
        <w:t>辩工作事宜，负责整理</w:t>
      </w:r>
      <w:r w:rsidRPr="00083BC1">
        <w:rPr>
          <w:rFonts w:ascii="宋体" w:hAnsi="宋体" w:cs="宋体" w:hint="eastAsia"/>
          <w:color w:val="000000"/>
          <w:kern w:val="0"/>
          <w:sz w:val="28"/>
          <w:szCs w:val="28"/>
        </w:rPr>
        <w:t>答辩工作材料。</w:t>
      </w:r>
    </w:p>
    <w:p w:rsidR="008F4347" w:rsidRPr="00083BC1" w:rsidRDefault="008F4347" w:rsidP="008F4347">
      <w:pPr>
        <w:widowControl/>
        <w:snapToGrid w:val="0"/>
        <w:spacing w:line="49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4．答辩工作规范：答辩委员必须按照“坚持标准、保证质量、公正合理”的原则参加答辩工作。答辩工作应以公开方式进行（涉密或保密的学位论文答辩除外）。答辩委员会根据答辩情况，就是否通过论文答辩和是否建议授予学位做出决议和表决。表决采取无记名投票方式，经三分之二以上答辩委员（含三分之二）同意算通过。答辩不通过者，经半数以上答辩委员同意，论文可在一年内修改，并重新答辩一次。</w:t>
      </w:r>
    </w:p>
    <w:p w:rsidR="008F4347" w:rsidRPr="00083BC1" w:rsidRDefault="008F4347" w:rsidP="008F4347">
      <w:pPr>
        <w:widowControl/>
        <w:snapToGrid w:val="0"/>
        <w:spacing w:line="49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5．答辩程序</w:t>
      </w:r>
    </w:p>
    <w:p w:rsidR="008F4347" w:rsidRPr="00083BC1" w:rsidRDefault="008F4347" w:rsidP="008F4347">
      <w:pPr>
        <w:widowControl/>
        <w:snapToGrid w:val="0"/>
        <w:spacing w:line="49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（1）答辩委员会主席宣布有关要求；</w:t>
      </w:r>
    </w:p>
    <w:p w:rsidR="008F4347" w:rsidRPr="00083BC1" w:rsidRDefault="008F4347" w:rsidP="008F4347">
      <w:pPr>
        <w:widowControl/>
        <w:snapToGrid w:val="0"/>
        <w:spacing w:line="49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（2）答辩人报告论文的主要内容，重点介绍本人开展的主要工作、所取得的主要成果及其价值，时间为30分钟左右；</w:t>
      </w:r>
    </w:p>
    <w:p w:rsidR="008F4347" w:rsidRPr="00083BC1" w:rsidRDefault="008F4347" w:rsidP="008F4347">
      <w:pPr>
        <w:widowControl/>
        <w:snapToGrid w:val="0"/>
        <w:spacing w:line="49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（3）导师介绍研究生学习机论文工作情况；</w:t>
      </w:r>
    </w:p>
    <w:p w:rsidR="008F4347" w:rsidRPr="00083BC1" w:rsidRDefault="008F4347" w:rsidP="008F4347">
      <w:pPr>
        <w:widowControl/>
        <w:snapToGrid w:val="0"/>
        <w:spacing w:line="49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 xml:space="preserve">（4）答辩秘书汇报论文评阅情况； </w:t>
      </w:r>
    </w:p>
    <w:p w:rsidR="008F4347" w:rsidRPr="00083BC1" w:rsidRDefault="008F4347" w:rsidP="008F4347">
      <w:pPr>
        <w:widowControl/>
        <w:snapToGrid w:val="0"/>
        <w:spacing w:line="49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lastRenderedPageBreak/>
        <w:t xml:space="preserve">（5）提问与答辩； </w:t>
      </w:r>
    </w:p>
    <w:p w:rsidR="008F4347" w:rsidRPr="00083BC1" w:rsidRDefault="008F4347" w:rsidP="008F4347">
      <w:pPr>
        <w:widowControl/>
        <w:snapToGrid w:val="0"/>
        <w:spacing w:line="49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（6）答辩委员会举行会议（其他人回避），对学位论文的学术水平和作者的答辩情况进行评议和表决，填写《工程硕士专业学位论文评分表》，并讨论形成论文答辩决议书；</w:t>
      </w:r>
    </w:p>
    <w:p w:rsidR="008F4347" w:rsidRPr="00083BC1" w:rsidRDefault="008F4347" w:rsidP="008F4347">
      <w:pPr>
        <w:widowControl/>
        <w:snapToGrid w:val="0"/>
        <w:spacing w:line="49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（7）复会，主席宣布答辩委员会表决结果和论文答辩决议书。</w:t>
      </w:r>
    </w:p>
    <w:p w:rsidR="008F4347" w:rsidRPr="00083BC1" w:rsidRDefault="008F4347" w:rsidP="008F4347">
      <w:pPr>
        <w:widowControl/>
        <w:spacing w:line="490" w:lineRule="exact"/>
        <w:ind w:firstLineChars="200" w:firstLine="560"/>
        <w:rPr>
          <w:rFonts w:ascii="宋体" w:hAnsi="宋体" w:cs="宋体"/>
          <w:color w:val="000000"/>
          <w:kern w:val="0"/>
          <w:sz w:val="28"/>
          <w:szCs w:val="28"/>
        </w:rPr>
      </w:pPr>
      <w:r w:rsidRPr="00083BC1">
        <w:rPr>
          <w:rFonts w:ascii="宋体" w:hAnsi="宋体" w:cs="宋体" w:hint="eastAsia"/>
          <w:color w:val="000000"/>
          <w:kern w:val="0"/>
          <w:sz w:val="28"/>
          <w:szCs w:val="28"/>
        </w:rPr>
        <w:t>6．答辩秘书应将论文评阅意见书、答辩表决票、《工程硕士专业学位论文评分表》、论文答辩决议书及其它学位审批材料整理好后交院部办公室。研究生本人应将包括《学位论文原创性声明》和《学位论文使用授权书》的学位论文纸质本按要求上交院部办公室，并向学校档案馆上传学位论文电子版。</w:t>
      </w:r>
    </w:p>
    <w:p w:rsidR="008F4347" w:rsidRPr="00083BC1" w:rsidRDefault="008F4347" w:rsidP="008F4347">
      <w:pPr>
        <w:widowControl/>
        <w:spacing w:line="360" w:lineRule="auto"/>
        <w:rPr>
          <w:rFonts w:ascii="仿宋_GB2312" w:eastAsia="仿宋_GB2312" w:hAnsi="宋体" w:cs="宋体"/>
          <w:color w:val="000000"/>
          <w:kern w:val="0"/>
          <w:sz w:val="32"/>
          <w:szCs w:val="32"/>
        </w:rPr>
      </w:pPr>
      <w:r w:rsidRPr="00083BC1">
        <w:rPr>
          <w:rFonts w:ascii="仿宋_GB2312" w:eastAsia="仿宋_GB2312" w:hAnsi="宋体" w:cs="宋体" w:hint="eastAsia"/>
          <w:color w:val="000000"/>
          <w:kern w:val="0"/>
          <w:sz w:val="32"/>
          <w:szCs w:val="32"/>
        </w:rPr>
        <w:t>附件2：</w:t>
      </w:r>
    </w:p>
    <w:p w:rsidR="008F4347" w:rsidRPr="00083BC1" w:rsidRDefault="008F4347" w:rsidP="008F4347">
      <w:pPr>
        <w:widowControl/>
        <w:spacing w:line="240" w:lineRule="atLeast"/>
        <w:jc w:val="center"/>
        <w:rPr>
          <w:rFonts w:ascii="华文中宋" w:eastAsia="华文中宋" w:hAnsi="华文中宋" w:cs="宋体"/>
          <w:b/>
          <w:kern w:val="0"/>
          <w:sz w:val="36"/>
          <w:szCs w:val="36"/>
        </w:rPr>
      </w:pPr>
      <w:r w:rsidRPr="00083BC1">
        <w:rPr>
          <w:rFonts w:ascii="华文中宋" w:eastAsia="华文中宋" w:hAnsi="华文中宋" w:cs="宋体"/>
          <w:b/>
          <w:kern w:val="0"/>
          <w:sz w:val="36"/>
          <w:szCs w:val="36"/>
        </w:rPr>
        <w:t>工程硕士专业学位论文评审要素</w:t>
      </w:r>
    </w:p>
    <w:p w:rsidR="008F4347" w:rsidRPr="00083BC1" w:rsidRDefault="008F4347" w:rsidP="008F4347">
      <w:pPr>
        <w:widowControl/>
        <w:snapToGrid w:val="0"/>
        <w:spacing w:line="500" w:lineRule="exact"/>
        <w:ind w:firstLineChars="200" w:firstLine="560"/>
        <w:jc w:val="left"/>
        <w:rPr>
          <w:rFonts w:ascii="黑体" w:eastAsia="黑体" w:hAnsi="宋体" w:cs="宋体"/>
          <w:bCs/>
          <w:color w:val="000000"/>
          <w:kern w:val="0"/>
          <w:sz w:val="28"/>
          <w:szCs w:val="28"/>
        </w:rPr>
      </w:pPr>
      <w:r w:rsidRPr="00083BC1">
        <w:rPr>
          <w:rFonts w:ascii="黑体" w:eastAsia="黑体" w:hAnsi="宋体" w:cs="宋体" w:hint="eastAsia"/>
          <w:bCs/>
          <w:color w:val="000000"/>
          <w:kern w:val="0"/>
          <w:sz w:val="28"/>
          <w:szCs w:val="28"/>
        </w:rPr>
        <w:t>一、论文选题</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1．直接来源于生产实际；</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2．具有明确的工程背景与应用价值；</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3．有一定的技术难度和工作量。</w:t>
      </w:r>
    </w:p>
    <w:p w:rsidR="008F4347" w:rsidRPr="00083BC1" w:rsidRDefault="008F4347" w:rsidP="008F4347">
      <w:pPr>
        <w:widowControl/>
        <w:snapToGrid w:val="0"/>
        <w:spacing w:line="500" w:lineRule="exact"/>
        <w:ind w:firstLineChars="200" w:firstLine="560"/>
        <w:jc w:val="left"/>
        <w:rPr>
          <w:rFonts w:ascii="黑体" w:eastAsia="黑体" w:hAnsi="宋体" w:cs="宋体"/>
          <w:bCs/>
          <w:color w:val="000000"/>
          <w:kern w:val="0"/>
          <w:sz w:val="28"/>
          <w:szCs w:val="28"/>
        </w:rPr>
      </w:pPr>
      <w:r w:rsidRPr="00083BC1">
        <w:rPr>
          <w:rFonts w:ascii="黑体" w:eastAsia="黑体" w:hAnsi="宋体" w:cs="宋体" w:hint="eastAsia"/>
          <w:bCs/>
          <w:color w:val="000000"/>
          <w:kern w:val="0"/>
          <w:sz w:val="28"/>
          <w:szCs w:val="28"/>
        </w:rPr>
        <w:t>二、综合应用</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较广泛阅读文献资料，了解掌握选题所涉及的工程技术问题以及研究课题的国内外情况，并能综合应用于解决实际工程技术问题。</w:t>
      </w:r>
    </w:p>
    <w:p w:rsidR="008F4347" w:rsidRPr="00083BC1" w:rsidRDefault="008F4347" w:rsidP="008F4347">
      <w:pPr>
        <w:widowControl/>
        <w:snapToGrid w:val="0"/>
        <w:spacing w:line="500" w:lineRule="exact"/>
        <w:ind w:firstLineChars="200" w:firstLine="560"/>
        <w:jc w:val="left"/>
        <w:rPr>
          <w:rFonts w:ascii="黑体" w:eastAsia="黑体" w:hAnsi="宋体" w:cs="宋体"/>
          <w:bCs/>
          <w:color w:val="000000"/>
          <w:kern w:val="0"/>
          <w:sz w:val="28"/>
          <w:szCs w:val="28"/>
        </w:rPr>
      </w:pPr>
      <w:r w:rsidRPr="00083BC1">
        <w:rPr>
          <w:rFonts w:ascii="黑体" w:eastAsia="黑体" w:hAnsi="宋体" w:cs="宋体" w:hint="eastAsia"/>
          <w:bCs/>
          <w:color w:val="000000"/>
          <w:kern w:val="0"/>
          <w:sz w:val="28"/>
          <w:szCs w:val="28"/>
        </w:rPr>
        <w:t>三、研究方法和手段</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1．解决工程实际问题具有科学性，突出适用性；</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2．设计方案正确，结构合理；</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3．理论推导严密完整，分析合理；</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4．实验方法科学，数据充分、可信；</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5．理论建模和分析方法科学正确；</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6．程序编制及文档规范。</w:t>
      </w:r>
    </w:p>
    <w:p w:rsidR="008F4347" w:rsidRPr="00083BC1" w:rsidRDefault="008F4347" w:rsidP="008F4347">
      <w:pPr>
        <w:widowControl/>
        <w:snapToGrid w:val="0"/>
        <w:spacing w:line="500" w:lineRule="exact"/>
        <w:ind w:firstLineChars="200" w:firstLine="560"/>
        <w:jc w:val="left"/>
        <w:rPr>
          <w:rFonts w:ascii="黑体" w:eastAsia="黑体" w:hAnsi="宋体" w:cs="宋体"/>
          <w:bCs/>
          <w:color w:val="000000"/>
          <w:kern w:val="0"/>
          <w:sz w:val="28"/>
          <w:szCs w:val="28"/>
        </w:rPr>
      </w:pPr>
      <w:r w:rsidRPr="00083BC1">
        <w:rPr>
          <w:rFonts w:ascii="黑体" w:eastAsia="黑体" w:hAnsi="宋体" w:cs="宋体" w:hint="eastAsia"/>
          <w:bCs/>
          <w:color w:val="000000"/>
          <w:kern w:val="0"/>
          <w:sz w:val="28"/>
          <w:szCs w:val="28"/>
        </w:rPr>
        <w:t>四、研究内容和成果</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lastRenderedPageBreak/>
        <w:t>1．有明确的生产与工程应用背景；</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2．具有综合运用基础理论、科学方法、专业知识和技术手段，解决工程实际问题的能力；</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3．具有一定的先进性或适用性；</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4．论文成果有一定的经济效益或社会效益。</w:t>
      </w:r>
    </w:p>
    <w:p w:rsidR="008F4347" w:rsidRPr="00083BC1" w:rsidRDefault="008F4347" w:rsidP="008F4347">
      <w:pPr>
        <w:widowControl/>
        <w:snapToGrid w:val="0"/>
        <w:spacing w:line="500" w:lineRule="exact"/>
        <w:ind w:firstLineChars="200" w:firstLine="560"/>
        <w:jc w:val="left"/>
        <w:rPr>
          <w:rFonts w:ascii="黑体" w:eastAsia="黑体" w:hAnsi="宋体" w:cs="宋体"/>
          <w:bCs/>
          <w:color w:val="000000"/>
          <w:kern w:val="0"/>
          <w:sz w:val="28"/>
          <w:szCs w:val="28"/>
        </w:rPr>
      </w:pPr>
      <w:r w:rsidRPr="00083BC1">
        <w:rPr>
          <w:rFonts w:ascii="黑体" w:eastAsia="黑体" w:hAnsi="宋体" w:cs="宋体" w:hint="eastAsia"/>
          <w:bCs/>
          <w:color w:val="000000"/>
          <w:kern w:val="0"/>
          <w:sz w:val="28"/>
          <w:szCs w:val="28"/>
        </w:rPr>
        <w:t>五、学风和论文写作</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1．引文确切、数据真实、正确；</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2．概念清晰、分析合理、层次分明；</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3．文理通顺、学风严谨、书写规范；</w:t>
      </w:r>
    </w:p>
    <w:p w:rsidR="008F4347" w:rsidRPr="00083BC1" w:rsidRDefault="008F4347" w:rsidP="008F4347">
      <w:pPr>
        <w:widowControl/>
        <w:snapToGrid w:val="0"/>
        <w:spacing w:line="500" w:lineRule="exact"/>
        <w:ind w:firstLineChars="200" w:firstLine="560"/>
        <w:jc w:val="left"/>
        <w:rPr>
          <w:rFonts w:ascii="宋体" w:hAnsi="宋体" w:cs="宋体"/>
          <w:color w:val="000000"/>
          <w:kern w:val="0"/>
          <w:sz w:val="28"/>
          <w:szCs w:val="28"/>
        </w:rPr>
      </w:pPr>
      <w:r w:rsidRPr="00083BC1">
        <w:rPr>
          <w:rFonts w:ascii="宋体" w:hAnsi="宋体" w:cs="宋体" w:hint="eastAsia"/>
          <w:color w:val="000000"/>
          <w:kern w:val="0"/>
          <w:sz w:val="28"/>
          <w:szCs w:val="28"/>
        </w:rPr>
        <w:t>4．明确写明作者的研究工作。</w:t>
      </w:r>
    </w:p>
    <w:p w:rsidR="008F4347" w:rsidRPr="00083BC1" w:rsidRDefault="008F4347" w:rsidP="008F4347">
      <w:pPr>
        <w:widowControl/>
        <w:snapToGrid w:val="0"/>
        <w:spacing w:line="400" w:lineRule="atLeast"/>
        <w:jc w:val="left"/>
        <w:rPr>
          <w:rFonts w:ascii="仿宋_GB2312" w:eastAsia="仿宋_GB2312" w:hAnsi="宋体" w:cs="宋体"/>
          <w:color w:val="000000"/>
          <w:kern w:val="0"/>
          <w:sz w:val="32"/>
          <w:szCs w:val="32"/>
        </w:rPr>
      </w:pPr>
      <w:r w:rsidRPr="00083BC1">
        <w:rPr>
          <w:rFonts w:ascii="仿宋_GB2312" w:eastAsia="仿宋_GB2312" w:hAnsi="宋体" w:cs="宋体" w:hint="eastAsia"/>
          <w:color w:val="000000"/>
          <w:kern w:val="0"/>
          <w:sz w:val="32"/>
          <w:szCs w:val="32"/>
        </w:rPr>
        <w:t>附件3：</w:t>
      </w:r>
    </w:p>
    <w:p w:rsidR="008F4347" w:rsidRPr="00083BC1" w:rsidRDefault="008F4347" w:rsidP="008F4347">
      <w:pPr>
        <w:widowControl/>
        <w:spacing w:line="240" w:lineRule="atLeast"/>
        <w:jc w:val="center"/>
        <w:rPr>
          <w:rFonts w:ascii="华文中宋" w:eastAsia="华文中宋" w:hAnsi="华文中宋" w:cs="宋体"/>
          <w:b/>
          <w:kern w:val="0"/>
          <w:sz w:val="36"/>
          <w:szCs w:val="36"/>
        </w:rPr>
      </w:pPr>
      <w:r w:rsidRPr="00083BC1">
        <w:rPr>
          <w:rFonts w:ascii="华文中宋" w:eastAsia="华文中宋" w:hAnsi="华文中宋" w:cs="宋体"/>
          <w:b/>
          <w:kern w:val="0"/>
          <w:sz w:val="36"/>
          <w:szCs w:val="36"/>
        </w:rPr>
        <w:t>工程硕士专业学位论文评分表</w:t>
      </w:r>
    </w:p>
    <w:p w:rsidR="008F4347" w:rsidRPr="00083BC1" w:rsidRDefault="008F4347" w:rsidP="008F4347">
      <w:pPr>
        <w:widowControl/>
        <w:spacing w:line="240" w:lineRule="atLeast"/>
        <w:rPr>
          <w:rFonts w:ascii="宋体" w:hAnsi="宋体" w:cs="宋体"/>
          <w:color w:val="000000"/>
          <w:kern w:val="0"/>
          <w:u w:val="single"/>
        </w:rPr>
      </w:pPr>
      <w:r w:rsidRPr="00083BC1">
        <w:rPr>
          <w:rFonts w:ascii="宋体" w:hAnsi="宋体" w:cs="宋体" w:hint="eastAsia"/>
          <w:color w:val="000000"/>
          <w:kern w:val="0"/>
        </w:rPr>
        <w:t>姓名：</w:t>
      </w:r>
      <w:r w:rsidRPr="00083BC1">
        <w:rPr>
          <w:rFonts w:ascii="宋体" w:hAnsi="宋体" w:cs="宋体" w:hint="eastAsia"/>
          <w:color w:val="000000"/>
          <w:kern w:val="0"/>
          <w:u w:val="single"/>
        </w:rPr>
        <w:t xml:space="preserve">                          </w:t>
      </w:r>
      <w:r w:rsidRPr="00083BC1">
        <w:rPr>
          <w:rFonts w:ascii="宋体" w:hAnsi="宋体" w:cs="宋体" w:hint="eastAsia"/>
          <w:color w:val="000000"/>
          <w:kern w:val="0"/>
        </w:rPr>
        <w:t xml:space="preserve">         工程领域名称：</w:t>
      </w:r>
      <w:r w:rsidRPr="00083BC1">
        <w:rPr>
          <w:rFonts w:ascii="宋体" w:hAnsi="宋体" w:cs="宋体" w:hint="eastAsia"/>
          <w:color w:val="000000"/>
          <w:kern w:val="0"/>
          <w:u w:val="single"/>
        </w:rPr>
        <w:t xml:space="preserve">                          </w:t>
      </w:r>
    </w:p>
    <w:tbl>
      <w:tblPr>
        <w:tblW w:w="9209"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1872"/>
        <w:gridCol w:w="2160"/>
        <w:gridCol w:w="2456"/>
        <w:gridCol w:w="1173"/>
      </w:tblGrid>
      <w:tr w:rsidR="008F4347" w:rsidRPr="00083BC1" w:rsidTr="003C55B1">
        <w:trPr>
          <w:cantSplit/>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评议</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项目</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F4347" w:rsidRPr="00083BC1" w:rsidRDefault="008F4347" w:rsidP="003C55B1">
            <w:pPr>
              <w:widowControl/>
              <w:spacing w:before="120" w:line="240" w:lineRule="atLeast"/>
              <w:jc w:val="center"/>
              <w:rPr>
                <w:rFonts w:ascii="宋体" w:hAnsi="宋体" w:cs="宋体"/>
                <w:color w:val="000000"/>
                <w:kern w:val="0"/>
              </w:rPr>
            </w:pPr>
            <w:r w:rsidRPr="00083BC1">
              <w:rPr>
                <w:rFonts w:ascii="宋体" w:hAnsi="宋体" w:cs="宋体" w:hint="eastAsia"/>
                <w:color w:val="000000"/>
                <w:kern w:val="0"/>
              </w:rPr>
              <w:t>权重</w:t>
            </w:r>
          </w:p>
        </w:tc>
        <w:tc>
          <w:tcPr>
            <w:tcW w:w="6488" w:type="dxa"/>
            <w:gridSpan w:val="3"/>
            <w:tcBorders>
              <w:top w:val="single" w:sz="4" w:space="0" w:color="auto"/>
              <w:left w:val="single" w:sz="4" w:space="0" w:color="auto"/>
              <w:bottom w:val="single" w:sz="4" w:space="0" w:color="auto"/>
              <w:right w:val="single" w:sz="4" w:space="0" w:color="auto"/>
            </w:tcBorders>
            <w:shd w:val="clear" w:color="auto" w:fill="auto"/>
          </w:tcPr>
          <w:p w:rsidR="008F4347" w:rsidRPr="00083BC1" w:rsidRDefault="008F4347" w:rsidP="003C55B1">
            <w:pPr>
              <w:widowControl/>
              <w:spacing w:before="120" w:line="240" w:lineRule="atLeast"/>
              <w:jc w:val="center"/>
              <w:rPr>
                <w:rFonts w:ascii="宋体" w:hAnsi="宋体" w:cs="宋体"/>
                <w:color w:val="000000"/>
                <w:kern w:val="0"/>
              </w:rPr>
            </w:pPr>
            <w:r w:rsidRPr="00083BC1">
              <w:rPr>
                <w:rFonts w:ascii="宋体" w:hAnsi="宋体" w:cs="宋体" w:hint="eastAsia"/>
                <w:color w:val="000000"/>
                <w:kern w:val="0"/>
              </w:rPr>
              <w:t>评   分   标   准</w:t>
            </w: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具体得分</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（100％）</w:t>
            </w:r>
          </w:p>
        </w:tc>
      </w:tr>
      <w:tr w:rsidR="008F4347" w:rsidRPr="00083BC1" w:rsidTr="003C55B1">
        <w:trPr>
          <w:cantSplit/>
          <w:trHeight w:val="2309"/>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（一）</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先</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进</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性</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（K）</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20％</w:t>
            </w:r>
          </w:p>
        </w:tc>
        <w:tc>
          <w:tcPr>
            <w:tcW w:w="6488" w:type="dxa"/>
            <w:gridSpan w:val="3"/>
            <w:tcBorders>
              <w:top w:val="single" w:sz="4" w:space="0" w:color="auto"/>
              <w:left w:val="nil"/>
              <w:bottom w:val="single" w:sz="4" w:space="0" w:color="auto"/>
              <w:right w:val="single" w:sz="4" w:space="0" w:color="auto"/>
            </w:tcBorders>
            <w:shd w:val="clear" w:color="auto" w:fill="auto"/>
          </w:tcPr>
          <w:p w:rsidR="008F4347" w:rsidRPr="00083BC1" w:rsidRDefault="008F4347" w:rsidP="003C55B1">
            <w:pPr>
              <w:widowControl/>
              <w:spacing w:line="240" w:lineRule="atLeast"/>
              <w:ind w:leftChars="-1" w:hangingChars="1" w:hanging="2"/>
              <w:rPr>
                <w:rFonts w:ascii="宋体" w:hAnsi="宋体" w:cs="宋体"/>
                <w:color w:val="000000"/>
                <w:kern w:val="0"/>
              </w:rPr>
            </w:pPr>
            <w:r w:rsidRPr="00083BC1">
              <w:rPr>
                <w:rFonts w:ascii="宋体" w:hAnsi="宋体" w:cs="宋体" w:hint="eastAsia"/>
                <w:color w:val="000000"/>
                <w:kern w:val="0"/>
              </w:rPr>
              <w:t>90分以上：阅读广泛，较全面了解掌握选题所及的国内外动态，善于运用科学理论和先进技术解决工程实际问题；</w:t>
            </w:r>
          </w:p>
          <w:p w:rsidR="008F4347" w:rsidRPr="00083BC1" w:rsidRDefault="008F4347" w:rsidP="003C55B1">
            <w:pPr>
              <w:widowControl/>
              <w:spacing w:line="240" w:lineRule="atLeast"/>
              <w:ind w:right="315"/>
              <w:rPr>
                <w:rFonts w:ascii="宋体" w:hAnsi="宋体" w:cs="宋体"/>
                <w:color w:val="000000"/>
                <w:kern w:val="0"/>
              </w:rPr>
            </w:pPr>
            <w:r w:rsidRPr="00083BC1">
              <w:rPr>
                <w:rFonts w:ascii="宋体" w:hAnsi="宋体" w:cs="宋体" w:hint="eastAsia"/>
                <w:color w:val="000000"/>
                <w:kern w:val="0"/>
              </w:rPr>
              <w:t>75-89分：阅读较广泛，基本了解掌握选题所涉及的国内外动态，能运用科学理论和先进技术解决工程实际问题；</w:t>
            </w:r>
          </w:p>
          <w:p w:rsidR="008F4347" w:rsidRPr="00083BC1" w:rsidRDefault="008F4347" w:rsidP="003C55B1">
            <w:pPr>
              <w:widowControl/>
              <w:spacing w:line="240" w:lineRule="atLeast"/>
              <w:ind w:right="315"/>
              <w:rPr>
                <w:rFonts w:ascii="宋体" w:hAnsi="宋体" w:cs="宋体"/>
                <w:color w:val="000000"/>
                <w:kern w:val="0"/>
              </w:rPr>
            </w:pPr>
            <w:r w:rsidRPr="00083BC1">
              <w:rPr>
                <w:rFonts w:ascii="宋体" w:hAnsi="宋体" w:cs="宋体" w:hint="eastAsia"/>
                <w:color w:val="000000"/>
                <w:kern w:val="0"/>
              </w:rPr>
              <w:t>60-74分：能阅读文献，了解掌握选题所涉及的一些国内外动态，并运用科学理论和先进技术解决工程实际问题；</w:t>
            </w:r>
          </w:p>
          <w:p w:rsidR="008F4347" w:rsidRPr="00083BC1" w:rsidRDefault="008F4347" w:rsidP="003C55B1">
            <w:pPr>
              <w:widowControl/>
              <w:spacing w:line="240" w:lineRule="atLeast"/>
              <w:ind w:leftChars="-1" w:hangingChars="1" w:hanging="2"/>
              <w:rPr>
                <w:rFonts w:ascii="宋体" w:hAnsi="宋体" w:cs="宋体"/>
                <w:color w:val="000000"/>
                <w:kern w:val="0"/>
              </w:rPr>
            </w:pPr>
            <w:r w:rsidRPr="00083BC1">
              <w:rPr>
                <w:rFonts w:ascii="宋体" w:hAnsi="宋体" w:cs="宋体" w:hint="eastAsia"/>
                <w:color w:val="000000"/>
                <w:kern w:val="0"/>
              </w:rPr>
              <w:t>59分以下：阅读量不足，不能了解掌握选题所涉及的国内外动态，解决工程实际问题缺乏先进性或适用性。</w:t>
            </w: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8F4347" w:rsidRPr="00083BC1" w:rsidRDefault="008F4347" w:rsidP="003C55B1">
            <w:pPr>
              <w:widowControl/>
              <w:spacing w:line="240" w:lineRule="atLeast"/>
              <w:jc w:val="center"/>
              <w:rPr>
                <w:rFonts w:ascii="宋体" w:hAnsi="宋体" w:cs="宋体"/>
                <w:color w:val="666666"/>
                <w:kern w:val="0"/>
              </w:rPr>
            </w:pPr>
          </w:p>
        </w:tc>
      </w:tr>
      <w:tr w:rsidR="008F4347" w:rsidRPr="00083BC1" w:rsidTr="003C55B1">
        <w:trPr>
          <w:cantSplit/>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（二）</w:t>
            </w:r>
          </w:p>
          <w:p w:rsidR="008F4347" w:rsidRPr="00083BC1" w:rsidRDefault="008F4347" w:rsidP="003C55B1">
            <w:pPr>
              <w:widowControl/>
              <w:spacing w:line="240" w:lineRule="atLeast"/>
              <w:jc w:val="center"/>
              <w:rPr>
                <w:rFonts w:ascii="宋体" w:hAnsi="宋体" w:cs="宋体"/>
                <w:color w:val="000000"/>
                <w:kern w:val="0"/>
              </w:rPr>
            </w:pPr>
            <w:proofErr w:type="gramStart"/>
            <w:r w:rsidRPr="00083BC1">
              <w:rPr>
                <w:rFonts w:ascii="宋体" w:hAnsi="宋体" w:cs="宋体" w:hint="eastAsia"/>
                <w:color w:val="000000"/>
                <w:kern w:val="0"/>
              </w:rPr>
              <w:t>规</w:t>
            </w:r>
            <w:proofErr w:type="gramEnd"/>
          </w:p>
          <w:p w:rsidR="008F4347" w:rsidRPr="00083BC1" w:rsidRDefault="008F4347" w:rsidP="003C55B1">
            <w:pPr>
              <w:widowControl/>
              <w:spacing w:line="240" w:lineRule="atLeast"/>
              <w:jc w:val="center"/>
              <w:rPr>
                <w:rFonts w:ascii="宋体" w:hAnsi="宋体" w:cs="宋体"/>
                <w:color w:val="000000"/>
                <w:kern w:val="0"/>
              </w:rPr>
            </w:pPr>
            <w:proofErr w:type="gramStart"/>
            <w:r w:rsidRPr="00083BC1">
              <w:rPr>
                <w:rFonts w:ascii="宋体" w:hAnsi="宋体" w:cs="宋体" w:hint="eastAsia"/>
                <w:color w:val="000000"/>
                <w:kern w:val="0"/>
              </w:rPr>
              <w:t>范</w:t>
            </w:r>
            <w:proofErr w:type="gramEnd"/>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性</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20％</w:t>
            </w:r>
          </w:p>
        </w:tc>
        <w:tc>
          <w:tcPr>
            <w:tcW w:w="6488" w:type="dxa"/>
            <w:gridSpan w:val="3"/>
            <w:tcBorders>
              <w:top w:val="single" w:sz="4" w:space="0" w:color="auto"/>
              <w:left w:val="nil"/>
              <w:bottom w:val="single" w:sz="4" w:space="0" w:color="auto"/>
              <w:right w:val="single" w:sz="4" w:space="0" w:color="auto"/>
            </w:tcBorders>
            <w:shd w:val="clear" w:color="auto" w:fill="auto"/>
          </w:tcPr>
          <w:p w:rsidR="008F4347" w:rsidRPr="00083BC1" w:rsidRDefault="008F4347" w:rsidP="003C55B1">
            <w:pPr>
              <w:widowControl/>
              <w:spacing w:line="240" w:lineRule="atLeast"/>
              <w:ind w:rightChars="-56" w:right="-118"/>
              <w:rPr>
                <w:rFonts w:ascii="宋体" w:hAnsi="宋体" w:cs="宋体"/>
                <w:color w:val="000000"/>
                <w:kern w:val="0"/>
              </w:rPr>
            </w:pPr>
            <w:r w:rsidRPr="00083BC1">
              <w:rPr>
                <w:rFonts w:ascii="宋体" w:hAnsi="宋体" w:cs="宋体" w:hint="eastAsia"/>
                <w:color w:val="000000"/>
                <w:kern w:val="0"/>
              </w:rPr>
              <w:t>90分以上：引文确切，理论推导严密完整，数据可信，分析严谨，书写规范；</w:t>
            </w:r>
          </w:p>
          <w:p w:rsidR="008F4347" w:rsidRPr="00083BC1" w:rsidRDefault="008F4347" w:rsidP="003C55B1">
            <w:pPr>
              <w:widowControl/>
              <w:spacing w:line="240" w:lineRule="atLeast"/>
              <w:ind w:rightChars="-56" w:right="-118"/>
              <w:rPr>
                <w:rFonts w:ascii="宋体" w:hAnsi="宋体" w:cs="宋体"/>
                <w:color w:val="000000"/>
                <w:kern w:val="0"/>
              </w:rPr>
            </w:pPr>
            <w:r w:rsidRPr="00083BC1">
              <w:rPr>
                <w:rFonts w:ascii="宋体" w:hAnsi="宋体" w:cs="宋体" w:hint="eastAsia"/>
                <w:color w:val="000000"/>
                <w:kern w:val="0"/>
              </w:rPr>
              <w:t>75-89分：引文确切，理论</w:t>
            </w:r>
            <w:proofErr w:type="gramStart"/>
            <w:r w:rsidRPr="00083BC1">
              <w:rPr>
                <w:rFonts w:ascii="宋体" w:hAnsi="宋体" w:cs="宋体" w:hint="eastAsia"/>
                <w:color w:val="000000"/>
                <w:kern w:val="0"/>
              </w:rPr>
              <w:t>推导较</w:t>
            </w:r>
            <w:proofErr w:type="gramEnd"/>
            <w:r w:rsidRPr="00083BC1">
              <w:rPr>
                <w:rFonts w:ascii="宋体" w:hAnsi="宋体" w:cs="宋体" w:hint="eastAsia"/>
                <w:color w:val="000000"/>
                <w:kern w:val="0"/>
              </w:rPr>
              <w:t>严密完整，数据可靠，分析合理，书写较规范；</w:t>
            </w:r>
          </w:p>
          <w:p w:rsidR="008F4347" w:rsidRPr="00083BC1" w:rsidRDefault="008F4347" w:rsidP="003C55B1">
            <w:pPr>
              <w:widowControl/>
              <w:spacing w:line="240" w:lineRule="atLeast"/>
              <w:ind w:rightChars="-56" w:right="-118"/>
              <w:rPr>
                <w:rFonts w:ascii="宋体" w:hAnsi="宋体" w:cs="宋体"/>
                <w:color w:val="000000"/>
                <w:kern w:val="0"/>
              </w:rPr>
            </w:pPr>
            <w:r w:rsidRPr="00083BC1">
              <w:rPr>
                <w:rFonts w:ascii="宋体" w:hAnsi="宋体" w:cs="宋体" w:hint="eastAsia"/>
                <w:color w:val="000000"/>
                <w:kern w:val="0"/>
              </w:rPr>
              <w:t>60-74分：引文正确，理论推导有一定的完整性，数据准确，分析较合理，书写符合标准；</w:t>
            </w:r>
          </w:p>
          <w:p w:rsidR="008F4347" w:rsidRPr="00083BC1" w:rsidRDefault="008F4347" w:rsidP="003C55B1">
            <w:pPr>
              <w:widowControl/>
              <w:spacing w:line="240" w:lineRule="atLeast"/>
              <w:ind w:leftChars="-1" w:hangingChars="1" w:hanging="2"/>
              <w:rPr>
                <w:rFonts w:ascii="宋体" w:hAnsi="宋体" w:cs="宋体"/>
                <w:color w:val="000000"/>
                <w:kern w:val="0"/>
              </w:rPr>
            </w:pPr>
            <w:r w:rsidRPr="00083BC1">
              <w:rPr>
                <w:rFonts w:ascii="宋体" w:hAnsi="宋体" w:cs="宋体" w:hint="eastAsia"/>
                <w:color w:val="000000"/>
                <w:kern w:val="0"/>
              </w:rPr>
              <w:t>59分以下：引文有误，理论推导欠妥，数据不准确，书写不符合标准。</w:t>
            </w: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8F4347" w:rsidRPr="00083BC1" w:rsidRDefault="008F4347" w:rsidP="003C55B1">
            <w:pPr>
              <w:widowControl/>
              <w:spacing w:line="240" w:lineRule="atLeast"/>
              <w:jc w:val="center"/>
              <w:rPr>
                <w:rFonts w:ascii="宋体" w:hAnsi="宋体" w:cs="宋体"/>
                <w:color w:val="666666"/>
                <w:kern w:val="0"/>
              </w:rPr>
            </w:pPr>
          </w:p>
        </w:tc>
      </w:tr>
      <w:tr w:rsidR="008F4347" w:rsidRPr="00083BC1" w:rsidTr="003C55B1">
        <w:trPr>
          <w:cantSplit/>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lastRenderedPageBreak/>
              <w:t>（三）</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学</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术</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性</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20％</w:t>
            </w:r>
          </w:p>
        </w:tc>
        <w:tc>
          <w:tcPr>
            <w:tcW w:w="6488" w:type="dxa"/>
            <w:gridSpan w:val="3"/>
            <w:tcBorders>
              <w:top w:val="single" w:sz="4" w:space="0" w:color="auto"/>
              <w:left w:val="nil"/>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ind w:rightChars="-56" w:right="-118"/>
              <w:rPr>
                <w:rFonts w:ascii="宋体" w:hAnsi="宋体" w:cs="宋体"/>
                <w:color w:val="000000"/>
                <w:kern w:val="0"/>
              </w:rPr>
            </w:pPr>
            <w:r w:rsidRPr="00083BC1">
              <w:rPr>
                <w:rFonts w:ascii="宋体" w:hAnsi="宋体" w:cs="宋体" w:hint="eastAsia"/>
                <w:color w:val="000000"/>
                <w:kern w:val="0"/>
              </w:rPr>
              <w:t>90分以上：综合运用基础理论、科学方法、专业知识和技术手段，具有很强的解决工程实际问题能力，概念清晰，层次分明，技术难度高，工作量饱满；</w:t>
            </w:r>
          </w:p>
          <w:p w:rsidR="008F4347" w:rsidRPr="00083BC1" w:rsidRDefault="008F4347" w:rsidP="003C55B1">
            <w:pPr>
              <w:widowControl/>
              <w:spacing w:line="240" w:lineRule="atLeast"/>
              <w:ind w:rightChars="-56" w:right="-118"/>
              <w:rPr>
                <w:rFonts w:ascii="宋体" w:hAnsi="宋体" w:cs="宋体"/>
                <w:color w:val="000000"/>
                <w:kern w:val="0"/>
              </w:rPr>
            </w:pPr>
            <w:r w:rsidRPr="00083BC1">
              <w:rPr>
                <w:rFonts w:ascii="宋体" w:hAnsi="宋体" w:cs="宋体" w:hint="eastAsia"/>
                <w:color w:val="000000"/>
                <w:kern w:val="0"/>
              </w:rPr>
              <w:t>75-89分：综合运用基础理论、科学方法、专业知识和技术手段，具有较强的解决工程实际问题能力，概念清晰，层次分明，有一定的技术难度，工作量较饱满；</w:t>
            </w:r>
          </w:p>
          <w:p w:rsidR="008F4347" w:rsidRPr="00083BC1" w:rsidRDefault="008F4347" w:rsidP="003C55B1">
            <w:pPr>
              <w:widowControl/>
              <w:spacing w:line="240" w:lineRule="atLeast"/>
              <w:ind w:rightChars="-56" w:right="-118"/>
              <w:rPr>
                <w:rFonts w:ascii="宋体" w:hAnsi="宋体" w:cs="宋体"/>
                <w:color w:val="000000"/>
                <w:kern w:val="0"/>
              </w:rPr>
            </w:pPr>
            <w:r w:rsidRPr="00083BC1">
              <w:rPr>
                <w:rFonts w:ascii="宋体" w:hAnsi="宋体" w:cs="宋体" w:hint="eastAsia"/>
                <w:color w:val="000000"/>
                <w:kern w:val="0"/>
              </w:rPr>
              <w:t>60-74分：综合运用基础理论、科学方法、专业知识和技术手段，具有一定的解决工程实际问题能力，概念清晰，层次分明，技术难度和工作量均一般；</w:t>
            </w:r>
          </w:p>
          <w:p w:rsidR="008F4347" w:rsidRPr="00083BC1" w:rsidRDefault="008F4347" w:rsidP="003C55B1">
            <w:pPr>
              <w:widowControl/>
              <w:spacing w:line="240" w:lineRule="atLeast"/>
              <w:ind w:leftChars="-1" w:hangingChars="1" w:hanging="2"/>
              <w:rPr>
                <w:rFonts w:ascii="宋体" w:hAnsi="宋体" w:cs="宋体"/>
                <w:color w:val="000000"/>
                <w:kern w:val="0"/>
              </w:rPr>
            </w:pPr>
            <w:r w:rsidRPr="00083BC1">
              <w:rPr>
                <w:rFonts w:ascii="宋体" w:hAnsi="宋体" w:cs="宋体" w:hint="eastAsia"/>
                <w:color w:val="000000"/>
                <w:kern w:val="0"/>
              </w:rPr>
              <w:t>59分以下：综合运用基础理论、科学方法、专业知识和技术手段，解决工程实际问题的能力较差，无技术难度，工作量也不够。</w:t>
            </w: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8F4347" w:rsidRPr="00083BC1" w:rsidRDefault="008F4347" w:rsidP="003C55B1">
            <w:pPr>
              <w:widowControl/>
              <w:spacing w:line="240" w:lineRule="atLeast"/>
              <w:jc w:val="center"/>
              <w:rPr>
                <w:rFonts w:ascii="宋体" w:hAnsi="宋体" w:cs="宋体"/>
                <w:color w:val="666666"/>
                <w:kern w:val="0"/>
              </w:rPr>
            </w:pPr>
          </w:p>
        </w:tc>
      </w:tr>
      <w:tr w:rsidR="008F4347" w:rsidRPr="00083BC1" w:rsidTr="003C55B1">
        <w:trPr>
          <w:cantSplit/>
          <w:trHeight w:val="2083"/>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8F4347" w:rsidRPr="00083BC1" w:rsidRDefault="008F4347" w:rsidP="003C55B1">
            <w:pPr>
              <w:widowControl/>
              <w:spacing w:before="120" w:line="240" w:lineRule="atLeast"/>
              <w:jc w:val="center"/>
              <w:rPr>
                <w:rFonts w:ascii="宋体" w:hAnsi="宋体" w:cs="宋体"/>
                <w:color w:val="000000"/>
                <w:kern w:val="0"/>
              </w:rPr>
            </w:pPr>
            <w:r w:rsidRPr="00083BC1">
              <w:rPr>
                <w:rFonts w:ascii="宋体" w:hAnsi="宋体" w:cs="宋体" w:hint="eastAsia"/>
                <w:color w:val="000000"/>
                <w:kern w:val="0"/>
              </w:rPr>
              <w:t>（四）</w:t>
            </w:r>
          </w:p>
          <w:p w:rsidR="008F4347" w:rsidRPr="00083BC1" w:rsidRDefault="008F4347" w:rsidP="003C55B1">
            <w:pPr>
              <w:widowControl/>
              <w:spacing w:before="120" w:line="240" w:lineRule="atLeast"/>
              <w:jc w:val="center"/>
              <w:rPr>
                <w:rFonts w:ascii="宋体" w:hAnsi="宋体" w:cs="宋体"/>
                <w:color w:val="000000"/>
                <w:kern w:val="0"/>
              </w:rPr>
            </w:pPr>
            <w:r w:rsidRPr="00083BC1">
              <w:rPr>
                <w:rFonts w:ascii="宋体" w:hAnsi="宋体" w:cs="宋体" w:hint="eastAsia"/>
                <w:color w:val="000000"/>
                <w:kern w:val="0"/>
              </w:rPr>
              <w:t>应</w:t>
            </w:r>
          </w:p>
          <w:p w:rsidR="008F4347" w:rsidRPr="00083BC1" w:rsidRDefault="008F4347" w:rsidP="003C55B1">
            <w:pPr>
              <w:widowControl/>
              <w:spacing w:before="120" w:line="240" w:lineRule="atLeast"/>
              <w:jc w:val="center"/>
              <w:rPr>
                <w:rFonts w:ascii="宋体" w:hAnsi="宋体" w:cs="宋体"/>
                <w:color w:val="000000"/>
                <w:kern w:val="0"/>
              </w:rPr>
            </w:pPr>
            <w:r w:rsidRPr="00083BC1">
              <w:rPr>
                <w:rFonts w:ascii="宋体" w:hAnsi="宋体" w:cs="宋体" w:hint="eastAsia"/>
                <w:color w:val="000000"/>
                <w:kern w:val="0"/>
              </w:rPr>
              <w:t>用</w:t>
            </w:r>
          </w:p>
          <w:p w:rsidR="008F4347" w:rsidRPr="00083BC1" w:rsidRDefault="008F4347" w:rsidP="003C55B1">
            <w:pPr>
              <w:widowControl/>
              <w:spacing w:before="120" w:line="240" w:lineRule="atLeast"/>
              <w:jc w:val="center"/>
              <w:rPr>
                <w:rFonts w:ascii="宋体" w:hAnsi="宋体" w:cs="宋体"/>
                <w:color w:val="000000"/>
                <w:kern w:val="0"/>
              </w:rPr>
            </w:pPr>
            <w:r w:rsidRPr="00083BC1">
              <w:rPr>
                <w:rFonts w:ascii="宋体" w:hAnsi="宋体" w:cs="宋体" w:hint="eastAsia"/>
                <w:color w:val="000000"/>
                <w:kern w:val="0"/>
              </w:rPr>
              <w:t>性</w:t>
            </w:r>
          </w:p>
          <w:p w:rsidR="008F4347" w:rsidRPr="00083BC1" w:rsidRDefault="008F4347" w:rsidP="003C55B1">
            <w:pPr>
              <w:widowControl/>
              <w:spacing w:before="120" w:line="240" w:lineRule="atLeast"/>
              <w:jc w:val="center"/>
              <w:rPr>
                <w:rFonts w:ascii="宋体" w:hAnsi="宋体" w:cs="宋体"/>
                <w:color w:val="000000"/>
                <w:kern w:val="0"/>
              </w:rPr>
            </w:pPr>
            <w:r w:rsidRPr="00083BC1">
              <w:rPr>
                <w:rFonts w:ascii="宋体" w:hAnsi="宋体" w:cs="宋体" w:hint="eastAsia"/>
                <w:color w:val="000000"/>
                <w:kern w:val="0"/>
              </w:rPr>
              <w:t>（R）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40％</w:t>
            </w:r>
          </w:p>
        </w:tc>
        <w:tc>
          <w:tcPr>
            <w:tcW w:w="6488" w:type="dxa"/>
            <w:gridSpan w:val="3"/>
            <w:tcBorders>
              <w:top w:val="single" w:sz="4" w:space="0" w:color="auto"/>
              <w:left w:val="nil"/>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ind w:leftChars="-1" w:hangingChars="1" w:hanging="2"/>
              <w:rPr>
                <w:rFonts w:ascii="宋体" w:hAnsi="宋体" w:cs="宋体"/>
                <w:color w:val="000000"/>
                <w:kern w:val="0"/>
              </w:rPr>
            </w:pPr>
            <w:r w:rsidRPr="00083BC1">
              <w:rPr>
                <w:rFonts w:ascii="宋体" w:hAnsi="宋体" w:cs="宋体" w:hint="eastAsia"/>
                <w:color w:val="000000"/>
                <w:kern w:val="0"/>
              </w:rPr>
              <w:t>90分以上：选题具有明确的工程背景与应用价值，研究成果的经济或社会效益好；</w:t>
            </w:r>
          </w:p>
          <w:p w:rsidR="008F4347" w:rsidRPr="00083BC1" w:rsidRDefault="008F4347" w:rsidP="003C55B1">
            <w:pPr>
              <w:widowControl/>
              <w:spacing w:line="240" w:lineRule="atLeast"/>
              <w:ind w:rightChars="-56" w:right="-118"/>
              <w:rPr>
                <w:rFonts w:ascii="宋体" w:hAnsi="宋体" w:cs="宋体"/>
                <w:color w:val="000000"/>
                <w:kern w:val="0"/>
              </w:rPr>
            </w:pPr>
            <w:r w:rsidRPr="00083BC1">
              <w:rPr>
                <w:rFonts w:ascii="宋体" w:hAnsi="宋体" w:cs="宋体" w:hint="eastAsia"/>
                <w:color w:val="000000"/>
                <w:kern w:val="0"/>
              </w:rPr>
              <w:t>75-89分：选题具有较明确的工程背景与应用价值，研究成果的经济或社会效益较好；</w:t>
            </w:r>
          </w:p>
          <w:p w:rsidR="008F4347" w:rsidRPr="00083BC1" w:rsidRDefault="008F4347" w:rsidP="003C55B1">
            <w:pPr>
              <w:widowControl/>
              <w:spacing w:line="240" w:lineRule="atLeast"/>
              <w:ind w:rightChars="-56" w:right="-118"/>
              <w:rPr>
                <w:rFonts w:ascii="宋体" w:hAnsi="宋体" w:cs="宋体"/>
                <w:color w:val="000000"/>
                <w:kern w:val="0"/>
              </w:rPr>
            </w:pPr>
            <w:r w:rsidRPr="00083BC1">
              <w:rPr>
                <w:rFonts w:ascii="宋体" w:hAnsi="宋体" w:cs="宋体" w:hint="eastAsia"/>
                <w:color w:val="000000"/>
                <w:kern w:val="0"/>
              </w:rPr>
              <w:t>60-74分：选题具有一定的工程背景与应用价值，研究成果的经济或社会效益一般；</w:t>
            </w:r>
          </w:p>
          <w:p w:rsidR="008F4347" w:rsidRPr="00083BC1" w:rsidRDefault="008F4347" w:rsidP="003C55B1">
            <w:pPr>
              <w:widowControl/>
              <w:spacing w:line="240" w:lineRule="atLeast"/>
              <w:ind w:leftChars="-1" w:hangingChars="1" w:hanging="2"/>
              <w:rPr>
                <w:rFonts w:ascii="宋体" w:hAnsi="宋体" w:cs="宋体"/>
                <w:color w:val="000000"/>
                <w:kern w:val="0"/>
              </w:rPr>
            </w:pPr>
            <w:r w:rsidRPr="00083BC1">
              <w:rPr>
                <w:rFonts w:ascii="宋体" w:hAnsi="宋体" w:cs="宋体" w:hint="eastAsia"/>
                <w:color w:val="000000"/>
                <w:kern w:val="0"/>
              </w:rPr>
              <w:t>59分以下：选题无明确的工程背景与应用价值，研究成果的无经济或社会效益。</w:t>
            </w: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8F4347" w:rsidRPr="00083BC1" w:rsidRDefault="008F4347" w:rsidP="003C55B1">
            <w:pPr>
              <w:widowControl/>
              <w:spacing w:line="240" w:lineRule="atLeast"/>
              <w:jc w:val="center"/>
              <w:rPr>
                <w:rFonts w:ascii="宋体" w:hAnsi="宋体" w:cs="宋体"/>
                <w:color w:val="666666"/>
                <w:kern w:val="0"/>
              </w:rPr>
            </w:pPr>
          </w:p>
        </w:tc>
      </w:tr>
      <w:tr w:rsidR="008F4347" w:rsidRPr="00083BC1" w:rsidTr="003C55B1">
        <w:trPr>
          <w:cantSplit/>
          <w:trHeight w:val="398"/>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总分</w:t>
            </w:r>
          </w:p>
        </w:tc>
        <w:tc>
          <w:tcPr>
            <w:tcW w:w="7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总分=0.2×K＋0.2×M＋0.1×N＋0.4×R</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p>
        </w:tc>
      </w:tr>
      <w:tr w:rsidR="008F4347" w:rsidRPr="00083BC1" w:rsidTr="003C55B1">
        <w:trPr>
          <w:cantSplit/>
          <w:trHeight w:val="431"/>
          <w:jc w:val="center"/>
        </w:trPr>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论文评价</w:t>
            </w:r>
          </w:p>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（请打“√”）</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优秀</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良好</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合格</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000000"/>
                <w:kern w:val="0"/>
              </w:rPr>
            </w:pPr>
            <w:r w:rsidRPr="00083BC1">
              <w:rPr>
                <w:rFonts w:ascii="宋体" w:hAnsi="宋体" w:cs="宋体" w:hint="eastAsia"/>
                <w:color w:val="000000"/>
                <w:kern w:val="0"/>
              </w:rPr>
              <w:t>不合格</w:t>
            </w:r>
          </w:p>
        </w:tc>
      </w:tr>
      <w:tr w:rsidR="008F4347" w:rsidRPr="00083BC1" w:rsidTr="003C55B1">
        <w:trPr>
          <w:cantSplit/>
          <w:trHeight w:val="338"/>
          <w:jc w:val="center"/>
        </w:trPr>
        <w:tc>
          <w:tcPr>
            <w:tcW w:w="1548" w:type="dxa"/>
            <w:gridSpan w:val="2"/>
            <w:vMerge/>
            <w:tcBorders>
              <w:top w:val="single" w:sz="4" w:space="0" w:color="auto"/>
              <w:left w:val="single" w:sz="4" w:space="0" w:color="auto"/>
              <w:bottom w:val="single" w:sz="4" w:space="0" w:color="auto"/>
              <w:right w:val="single" w:sz="4" w:space="0" w:color="auto"/>
            </w:tcBorders>
            <w:vAlign w:val="center"/>
          </w:tcPr>
          <w:p w:rsidR="008F4347" w:rsidRPr="00083BC1" w:rsidRDefault="008F4347" w:rsidP="003C55B1">
            <w:pPr>
              <w:widowControl/>
              <w:jc w:val="left"/>
              <w:rPr>
                <w:rFonts w:ascii="宋体" w:hAnsi="宋体" w:cs="宋体"/>
                <w:color w:val="000000"/>
                <w:kern w:val="0"/>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666666"/>
                <w:kern w:val="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666666"/>
                <w:kern w:val="0"/>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666666"/>
                <w:kern w:val="0"/>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8F4347" w:rsidRPr="00083BC1" w:rsidRDefault="008F4347" w:rsidP="003C55B1">
            <w:pPr>
              <w:widowControl/>
              <w:spacing w:line="240" w:lineRule="atLeast"/>
              <w:jc w:val="center"/>
              <w:rPr>
                <w:rFonts w:ascii="宋体" w:hAnsi="宋体" w:cs="宋体"/>
                <w:color w:val="666666"/>
                <w:kern w:val="0"/>
              </w:rPr>
            </w:pPr>
          </w:p>
        </w:tc>
      </w:tr>
    </w:tbl>
    <w:p w:rsidR="008F4347" w:rsidRPr="00083BC1" w:rsidRDefault="008F4347" w:rsidP="008F4347">
      <w:pPr>
        <w:rPr>
          <w:szCs w:val="24"/>
        </w:rPr>
      </w:pPr>
    </w:p>
    <w:p w:rsidR="00E02707" w:rsidRDefault="00E02707">
      <w:bookmarkStart w:id="0" w:name="_GoBack"/>
      <w:bookmarkEnd w:id="0"/>
    </w:p>
    <w:sectPr w:rsidR="00E02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347"/>
    <w:rsid w:val="008F4347"/>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34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34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2015-09-17T03:37:00Z</dcterms:created>
  <dcterms:modified xsi:type="dcterms:W3CDTF">2015-09-17T03:38:00Z</dcterms:modified>
</cp:coreProperties>
</file>